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2015/307 + IV 2015/367 vom 23. Februar 2018</w:t>
      </w:r>
    </w:p>
    <w:p>
      <w:r>
        <w:t>Sg Versicherungsgericht, 2018-02-23, DE</w:t>
      </w:r>
    </w:p>
    <w:p>
      <w:r>
        <w:rPr>
          <w:b/>
        </w:rPr>
        <w:t xml:space="preserve">Quelle: </w:t>
      </w:r>
      <w:r>
        <w:t>https://mcp.opencaselaw.ch/entscheid/sg_publikationen_IV 2015_307 + IV 2015_367</w:t>
      </w:r>
    </w:p>
    <w:p>
      <w:r>
        <w:t>FR: SG_VERSICHERUNGSGERICHT IV 2015/307 + IV 2015/367 du 23 février 2018</w:t>
      </w:r>
    </w:p>
    <w:p>
      <w:r>
        <w:t>IT: SG_VERSICHERUNGSGERICHT IV 2015/307 + IV 2015/367 del 23 febbraio 2018</w:t>
      </w:r>
    </w:p>
    <w:p>
      <w:pPr>
        <w:pStyle w:val="Heading2"/>
      </w:pPr>
      <w:r>
        <w:t>Regeste</w:t>
      </w:r>
    </w:p>
    <w:p>
      <w:r>
        <w:t>Art. 28 IVG. Würdigung Gutachten. Beweiskraft bejaht. Abweisung der Beschwerden (Entscheid des Versicherungsgerichts des Kantons St. Gallen vom 23. Februar 2018, IV 2015/307 und IV 2015/367). Entscheid vom 23. Februar 2018</w:t>
      </w:r>
    </w:p>
    <w:p>
      <w:pPr>
        <w:pStyle w:val="Heading2"/>
      </w:pPr>
      <w:r>
        <w:t>Erwägungen</w:t>
      </w:r>
    </w:p>
    <w:p>
      <w:r>
        <w:rPr>
          <w:b/>
        </w:rPr>
        <w:t>E. 1</w:t>
      </w:r>
    </w:p>
    <w:p>
      <w:r>
        <w:t>Die materiellen Anträge und deren Begründungen sind in beiden Beschwerdeschriften identisch (act. G 6 im Verfahren IV 2015/307 und act. G 1 im Verfahren IV 2015/367). Der Sachverhalt unterscheidet sich einzig in zeitlicher Hinsicht. Während in der Verfügung vom 5. Oktober 2015 der Rentenanspruch von August 2012 bis August 2015 gesprochen wurde (IV-act. 145), regelt die Verfügung vom 24. August 2015 den Anspruch ab September 2015 (IV-act. 140). Da es um einen einheitlichen Streitgegenstand geht, sind die Verfahren zu vereinigen und in einem einzigen Urteil zu erledigen (vgl. BGE 128 V 126 E. 1 mit Hinweisen).</w:t>
      </w:r>
    </w:p>
    <w:p>
      <w:r>
        <w:rPr>
          <w:b/>
        </w:rPr>
        <w:t>E. 2</w:t>
      </w:r>
    </w:p>
    <w:p>
      <w:r>
        <w:t>Zwischen den Parteien umstritten und nachfolgend zu prüfen ist ein Rentenanspruch der Beschwerdeführerin. Nicht zum Streitgegenstand gehört der von der Beschwerdeführerin in den Begründungen der Rechtsschriften geltend gemachte Anspruch auf Eingliederungsmassnahmen. Bereits mit Mitteilung vom 22. September 2014 hatte die Beschwerdegegnerin einen Anspruch auf berufliche Massnahmen verneint. Darin wurde die Beschwerdeführerin ausdrücklich darauf hingewiesen, dass sie eine beschwerdefähige Verfügung verlangen könne (IV-act. 115). Dies hat sie nicht getan. Entsprechend ist mangels Verfügung in diesem Punkt darüber in diesem Verfahren nicht zu befinden. Es steht der Beschwerdeführerin offen, bei der Beschwerdegegnerin erneut berufliche Massnahmen zu beantragen.</w:t>
      </w:r>
    </w:p>
    <w:p>
      <w:r>
        <w:rPr>
          <w:b/>
        </w:rPr>
        <w:t>E. 3</w:t>
      </w:r>
    </w:p>
    <w:p>
      <w:r>
        <w:t>3.1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132 V 99 E. 4).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3.4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4</w:t>
      </w:r>
    </w:p>
    <w:p>
      <w:r>
        <w:t>Zunächst ist zu prüfen, ob der medizinische Sachverhalt rechtsgenüglich abgeklärt ist. 4.1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seit 1. Januar 2007 sozialrechtliche Abteilungen des Bundesgerichts]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4.2  Beim bidisziplinären Gutachten von Dr. L.___ vom 27. Februar 2015 (IV-act. 126) handelt es sich um ein formgerecht eingeholtes externes Administrativgutachten (IV-act. 119 ff.), welchem nur bei konkreten Indizien gegen die Zuverlässigkeit nicht volle Beweiskraft zukommt (vgl. vorstehende Ziff. 4.1). Dr. L.___ hat die Beschwerdeführerin während mehr als drei Stunden untersucht. Er hat die Vorakten einbezogen und sie diskutiert. Die psychiatrische Befunderhebung erfolgte in Anlehnung an das anerkannte AMDP-System. Anlässlich der neuropsychologischen / verhaltensneurologischen Untersuchung hat er verschiedene Tests durchgeführt (Trail Making Test A und B; Verbaler Lern- und Merkfähigkeitstest [VLMT]; Rey-Osterrieth complex figure; HAWIE-R Zahlengedächtnistest; Regensburger Wortflüssigkeitstest; Zahlenspanne rückwärts; VDS 30 Persönlichkeitsinventar) und deren Resultate, unter Einbezug von Symptom-validierungstests (Rey Fifteen Item Memory Test; SFSS/SIMS Test), gewürdigt. Seine Diagnose (emotional instabile Persönlichkeitsstörung vom Borderline-Typ ICD-10: F60.31) erfolgte nach dem ICD-Klassifikationssystem und die Schätzung der Arbeitsfähigkeit hat er gestützt auf eine Konsistenz-, Funktions- und Ressourcenprüfung begründet. Den Verzicht auf eine posttraumatische Belastungsstörung, eine rezidivierende depressive Störung und eine neuropsychologische Funktionsstörung begründete Dr. L.___ in Würdigung der ergangenen divergierenden medizinischen Aktenlage (IV-act. 126). In diesem Sinne erscheint das Gutachten als umfassend. Es entspricht den Anforderungen der Rechtsprechung vollumfänglich, womit ihm grundsätzlich voller Beweiswert zuzuerkennen ist. 4.3  Der behandelnde Psychiater, med. pract. J.___, bringt in seinem Bericht vom 21. April 2015 mehrere Einwendungen gegen die Beurteilung von Dr. L.___ vor (act. G 2.1). Es sei nicht nachvollziehbar, weshalb Dr. L.___ das Ergebnis einer ausführlichen neuropsychologischen Untersuchung einer anerkannten Institution, in der regelmässig neuropsychologische Untersuchungen durchgeführt würden und bei der auch noch ein Neurologe eine konsiliarische Beurteilung durchgeführt habe, nicht berücksichtige und stattdessen eine eigene, kurze Untersuchung durchführe und dabei keine andauernden neuropsychologischen Defizite feststelle (act. G 2.1 S. 2 f.). In diesem Zusammenhang führt Dr. L.___ aus, dass für eine neuropsychologische Funktionsstörung die bisherigen Untersucher nie eine plausible ätiologische Zuordnung oder ein Erklärungsmodell präsentiert hätten. Auch hätten die damaligen Befunde bei der aktuellen Testung nicht repliziert werden können. In keinem der getesteten Bereiche sei die Leistung (relevant) beeinträchtigt gewesen. Auch klinisch habe sich ergeben, dass die Beschwerdeführerin ausdauernd, konzentriert und ohne Ermüdung die mehrstündige Untersuchung bewältigt habe. Möglicherweise seien frühere Testergebnisse zumindest zum Teil Epiphänomene depressiver Symptome, die aktuell nicht mehr so ausgeprägt seien. Dr. L.___ hat die neuropsychologische Beurteilung der Klinik K.___ (vgl. vorstehende lit. A.m; IV-act. 104) berücksichtigt und gewürdigt, anlässlich seiner ebenfalls umfassenden Testung aber keine die Arbeitsfähigkeit der Beschwerdeführerin einschränkenden Defizite festgestellt. Dr. L.___ war als Facharzt ebenfalls befähigt, neuropsychologische Tests durchzuführen. Indem er ausführt, dass die durch die Klinik K.___festgestellten Defizite als Begleiterscheinung der depressiven Symptome, welche bei seiner Begutachtung nicht mehr so ausgeprägt gewesen seien, zu erklären seien, liefert er eine nachvollziehbare Begründung für seine anderslautende Schlussfolgerung. 4.4  Weiter bemängelt med. pract. J.___ den Verzicht auf die Diagnose einer posttraumatischen Belastungsstörung. Das schlimme Erlebnis einer Vergewaltigung, aber auch das Abortereignis, seien geeignet, Ursache für eine solche Störung zu sein. Die Kriterien zur Stellung dieser Diagnose seien erfüllt (act. G 2.1 S. 3 f.). Dr. L.___ begründet, warum er die Diagnose einer posttraumatischen Belastungsstörung nicht stellt. Ein entsprechendes intrusives Erleben sei nicht nachweisbar. Die Kriterien nach ICD und DSM seien nicht erfüllt und traumatische Erlebnisse könnten beim Erscheinungsbild einer Borderline-Störung eine Rolle spielen (IV-act. 126-19). Dr. L.___ würdigt sowohl die anlässlich der Begutachtung erhobene Beschwerdeschilderung der Explorandin (IV-act. 126-7 f.) als auch die anderslautenden Berichte von med. pract. J.___. Die Schlussfolgerung, dass dessen Diagnose einer posttraumatischen Belastungsstörung in der Diagnose der Persönlichkeitsstörung aufgeht, ist in Anbetracht des erhobenen psychopathologischen Befunds (IV-act. 126-13 f.), welcher gemäss plausibler Begründung des RAD keine Symptome einer posttraumatischen Belastungsstörung zeigt (IV-act. 137-2), nachvollziehbar. In diesem Zusammenhang ist aber auch von Relevanz, dass sich den medizinischen Sachverständigen praktisch immer ein gewisser Spielraum eröffnet, innerhalb welchem verschiedene Interpretationen möglich, zulässig und zu respektieren sind, sofern der Experte – wie hier – lege artis vorgegangen ist (Urteile des Bundes¬gerichts vom 21. Februar 2017, 9C_338/2016, E. 5.5 und vom 15. März 2016, 9C_634/2015, E. 6.1). Konkrete Indizien gegen die Zuverlässigkeit der Expertise ergeben sich damit mangels Diagnose einer posttraumatischen Belastungsstörung nicht. 4.5  Med. pract. J.___ führt aus, dass die Beschwerdeführerin an einer rezidivierenden depressiven Störung leide, welche gegenwärtig remittiert sei. Es sei nicht richtig, dass depressive Symptome ein Kriterium einer emotional instabilen Persönlichkeitsstörung vom Borderline Typ seien. Es sei aber typisch für diese Erkrankung, dass sie rezidivierende depressive Episoden auslösen könne, die durch äussere psychische Belastungen verursacht worden seien (act. G 2.1 S. 6 f.). Dr. L.___ begründet den Verzicht auf eine eigenständige, von der Persönlichkeitsstörung unabhängige Diagnose aus dem depressiven Formenkreis plausibel. Ein depressives Syndrom sei bei der aktuellen Untersuchung nicht vorhanden. Die depressiven Symptome würden in der Diagnose der emotional instabilen Persönlichkeitsstörung vom Borderline Typ aufgehen. Typische depressive Episoden mit klar abgrenzbarem Beginn und mit Remission könnten nicht als nachgewiesen gelten. Vielmehr würden die depressiven Syndrome der Beschwerdeführerin, die von schnellen Wechseln geprägt seien und leicht durch belastende Erlebnisse angestossen werden könnten, gut zur emotional instabilen Persönlichkeitsstörung vom Borderline Typ passen. Würde eine rezidivierende depressive Störung vorliegen, wäre die gegenwärtige psychiatrische Behandlung ohne Antidepressivum sehr ungewöhnlich (IV-act. 126-19). Dr. L.___ begründet seine Einschätzung auch in Bezug auf eine allfällige separate depressive Symptomatik gestützt auf die eigenen Erhebungen anlässlich der Begutachtung und in Würdigung der medizinischen Akten. In dem Sinne drängt sich eine abweichende Beurteilung grundsätzlich nicht auf. Med. pract. J.___ ist zwar zuzustimmen, dass depressive Episoden – wie auch die posttraumatische Belastungsstörung – oft mit dem Borderline Syndrom einhergehen; beim hier zu beurteilenden Beschwerdebild ist aufgrund der Beschwerdeschilderung („die Stimmung wechsle von Stunde zu Stunde und von Tag zu Tag“; IV-act. 126-7) aber nicht zu beanstanden, dass Dr. L.___ die depressiven Stimmungen als in der Persönlichkeitsstörung aufgehend und nicht separat qualifiziert. Konkrete Indizien gegen die Zuverlässigkeit der Expertise ergeben sich auf jeden Fall nicht. 4.6  Nach dem Gesagten ist dem Gutachten voller Beweiswert zuzuerkennen und gestützt darauf mit überwiegender Wahrscheinlichkeit davon auszugehen, dass die Beschwerdeführerin ab dem Zeitpunkt der Untersuchung (26. Februar 2015) über eine 50%-ige Arbeitsfähigkeit für die angestammte und über eine 60%-ige für leidensangepasste Tätigkeiten verfügt (vgl. vorstehende lit. A.p; IV-act. 126-22 f.).</w:t>
      </w:r>
    </w:p>
    <w:p>
      <w:r>
        <w:rPr>
          <w:b/>
        </w:rPr>
        <w:t>E. 5</w:t>
      </w:r>
    </w:p>
    <w:p>
      <w:r>
        <w:t>Was die Arbeitsfähigkeit in der Zeit seit dem frühestmöglichen Rentenbeginn (August 2012; Art. 28 Abs. 1 lit. b IVG) bis zum Begutachtungszeitpunkt (26. Februar 2015) anbelangt, führt Dr. L.___ aus, dass eine verminderte Leistungsfähigkeit von 40% mindestens seit der Untersuchung bestehe, wahrscheinlich schon länger. Wahrscheinlich habe es ab 2011 Phasen mit stärkerer Einschränkung der Leistungsfähigkeit, dann eine deutliche Verbesserung ab etwa Mitte 2012, dann wieder eine Verschlechterung im Jahr 2013 gegeben. Wahrscheinlich hätten sich die Gesundheit und das Leistungsbild im Jahr 2014 gebessert (IV-act. 126-22). Diese Ausführungen erscheinen auf den ersten Blick (zu) vage. Sie erfolgen aber in Beachtung und Würdigung der ergangenen medizinischen Aktenlage. Offensichtlich haben Phasen stärkerer Einschränkungen ohne Arbeitsfähigkeit der Beschwerdeführerin zumindest während der stationären Aufenthalte vom 23. August bis 11. November 2011 und 2. April bis 6. Juni 2013 bestanden (vgl. vorstehende lit. A.c und A.i). Aber auch weniger starke Einschränkungen sind überwiegend wahrscheinlich (Aufenthalt als Au Pair in G.___ im Sommer 2012). Diese Schwankungen hat Dr. L.___ in seiner Beurteilung dargelegt, weshalb kein zwingender Grund ersichtlich ist, der ein Abweichen von der Arbeitsfähigkeitsschätzung von Dr. L.___ (60%-ige Arbeitsfähigkeit) seit dem frühestmöglichen Rentenbeginn nahe legen würde. Dr. L.___ begründet, weshalb frühere Einschätzungen bei Einbezug weiterer Diagnosen (depressive Störung, anhaltende neuropsychologische Funktionsstörung) teils zu hoch ausgefallen sind (IV-act. 126-21). Indem er von „etwa“ 60%-iger Arbeitsfähigkeit spricht, trägt er dem vorliegenden Beschwerdebild (emotional instabile Persönlichkeitsstörung vom Borderline Typ) mit wellenmässigem Verlauf nachvollziehbar Rechnung in dem Sinne, dass durchschnittlich von dieser Leistungsfähigkeit ausgegangen werden kann, nicht nur zur Zeit der Begutachtung, sondern auch retrospektiv. Es ist nicht davon auszugehen, dass durch eine weitere Begutachtung eine exaktere rückwirkende Ermittlung der Leistungsfähigkeit der Beschwerdeführerin resultiert, weshalb in antizipierter Beweiswürdigung darauf verzichtet werden kann (vgl. nebst vielen Urteil des Bundesgerichts vom 1. September 2016, 8C_467/2016, E. 3.3). Nicht ersichtlich ist, weshalb die Beschwerdeführerin seit August 2012 gestützt auf die Berichte der behandelnden Ärzte eine ganze Rente beantragt (act. G 6 S. 1 f., 12, 19); ausser med. pract. J.___ (ab November 2013) bescheinigte keiner der Ärzte eine durchgehende 100%-ige Arbeitsunfähigkeit seit August 2011 (IV-act. 57, 88, 96, 101). Damit ist auch ab August 2012 von einer 40%-igen, unterbrochen durch eine 100%-ige Arbeitsunfähigkeit in den Monaten April bis Juni 2013, auszugehen. Der erwähnte Unterbruch dauerte weniger als drei Monate, weshalb in Nachachtung der Dreimonatsfristen von Art. 88a Abs. 1 und 2 der Verordnung über die Invalidenversicherung (IVV; SR 831.201) auf eine befristete ganze Rente in diesem Zeitraum zu verzichten ist. Zusammenfassend ist bezogen auf leidensangepasste Tätigkeiten damit ab 1. August 2012 von einer 60%-igen Arbeitsfähigkeit auszugehen.</w:t>
      </w:r>
    </w:p>
    <w:p>
      <w:r>
        <w:rPr>
          <w:b/>
        </w:rPr>
        <w:t>E. 6</w:t>
      </w:r>
    </w:p>
    <w:p>
      <w:r>
        <w:t>Im nächsten Schritt ist der Invaliditätsgrad der Beschwerdeführerin festzulegen. 6.1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Frühestmöglicher Rentenbeginn ist – wie erwähnt – der 1. August 2012. Massgebend für den Einkommensvergleich ist somit das Jahr 2012 (BGE 129 V 222). 6.2  Die Beschwerdeführerin erlangte am 13. August 2009 das Fähigkeitszeugnis als Dentalassistentin (act. G 12.1). In der Annahme, die Beschwerdeführerin hätte ohne Gesundheitsschaden wieder eine Arbeitsstelle als Dentalassistentin angenommen, ergibt sich ausgehend von einem durchschnittlichen Monatslohn von Fr. 4'300.-- (http://www.dentalhygienists.ch/files/Dokumente/Mitglied/Salaere_2015_deutsch.pdf, eingesehen am 7. Februar 2018) ein Jahreseinkommen für das Jahr 2015 von maximal Fr. 55'900.-- (13 x Fr. 4'300.--). Unter Berücksichtigung der Nominallohnentwicklung beläuft sich das Valideneinkommen für das Jahr 2012 damit auf maximal Fr. 54‘735.-- (Nominallohnindex 2015: 2686, 2012: 2630; vgl. Anhang 2 der IVG-Gesetzesausgabe der Informationsstelle AHV/IV, Ausgabe 2018). 6.3  In Bezug auf angepasste Tätigkeiten führt Dr. L.___ aus, dass es günstig wäre, wenn diese wenig soziale Interaktionen und wenig enge Beziehung und Absprache mit anderen Personen erfordere. Eine Arbeit in der Produktion oder im Reinigungsgewerbe entspreche diesem Profil. Arbeiten, bei denen die Aufgaben klar umschrieben seien und nicht ausgehandelt werden müssten, wären vorteilhaft, ungünstig dagegen Arbeiten mit hohem zeitlichem Druck. Nicht geeignet sei weiter eine Tätigkeit mit engem Kontakt zu abhängigen und schutzbefohlenen Menschen wie zum Beispiel eine Tätigkeit in der Pflege und in der Kinderbetreuung, da Menschen mit emotional instabiler Persönlichkeitsstörung sich in solchen Beziehungen nicht gut abgrenzen könnten und es zur Funktionalisierung der abhängigen oder schutzbefohlenen Personen zur Regulierung eigener Emotionen kommen könne (IV-act. 126-22). Nachdem dem Gutachten von Dr. L.___ volle Beweiskraft zukommt und das genannte Belastungsprofil aufgrund der zu berücksichtigenden gesundheitlichen Einschränkungen überzeugt, ist zur Ermittlung des Invalideneinkommens darauf abzustellen. Als Verweistätigkeiten sind der Beschwerdeführerin nicht bloss die vorgeschlagenen Reinigungstätigkeiten und Tätigkeiten in der Produktion, sondern leidensangepasste Hilfsarbeiterinnentätigkeiten (solange keine berufliche Eingliederung erfolgt) im Allgemeinen zuzumuten (IV-act. 126-22), allerdings auch in Berücksichtigung der somatischen Einschränkungen durch die atopische Dermatitis und die Belastungsinsuffizienz des rechten Kniegelenks (keine schwere körperliche Tätigkeit und ständiges Gehen und Stehen, keine mechanische oder chemische Exponierung der Hände; IV-act. 59). Der Hilfsarbeiterinnenlohn gemäss Schweizerischer Lohnstrukturerhebung (LSE) hat im Jahr 2012 Fr. 51‘441.-- betragen (vgl. Anhang 2 der IVG-Gesetzesausgabe der Informationsstelle AHV/IV, Ausgabe 2018). Davon ist im Folgenden als Basis zur Ermittlung des Invalideneinkommens auszugehen. 6.4  Hinsichtlich der Frage nach einem Tabellenlohnabzug ist von Bedeutung, dass der Beschwerdeführerin wegen der psychiatrischen Einschränkungen lediglich noch ein erheblich eingeschränktes Spektrum an Hilfstätigkeiten zumutbar ist. Insbesondere sind ihr Tätigkeiten, die erhöhte Anforderungen an die Stress- und Frustrationstoleranz und an die emotionale Belastbarkeit stellen, nicht mehr zumutbar (vgl. zu den Einschränkungen betreffend Zeit- und Leistungsdruck die Urteile des Bundesgerichts vom 29. September 2014, 9C_236/2014, E. 4, und vom 28. Januar 2014, 9C_796/2013, E. 3.4). Weiter ist das Angebot auch aufgrund somatischer Einschränkungen eingeschränkt. Zu beachten gilt es sodann, dass die Beschwerdeführerin nie längerfristig im ersten Arbeitsmarkt integriert war. Selbst auf einem ausgeglichenen Arbeitsmarkt lässt dies mit überwiegender Wahrscheinlichkeit lohnrelevante Nachteile befürchten, die einen Tabellenlohnabzug rechtfertigen (Urteile des Bundesgerichts vom 10. Februar 2011, 9C_617/2010, E. 4.3, vom 15. Juli 2009, 9C_524/2008, E. 4 und E. 4.2, und vom 4. Mai 2012, 9C_22/2012, E. 3.2). Es ist aber auch zu beachten, dass sich die Abwesenheit vom Arbeitsmarkt bei Tätigkeiten mit Kompetenzniveau 1 nur geringfügig auswirkt. Unter diesen Umständen erscheint ein Tabellenlohnabzug von 10% angemessen, womit der entsprechend angepasste LSE-Hilfsarbeiterinnenlohn 2012 Fr. 46‘297.-- (Fr. 51‘441.-- x 0,9) beträgt. Angepasst an eine Restarbeitsfähigkeit von 60% ergibt sich ein Invalideneinkommen von Fr. 27‘778.-- (Fr. 46‘297.-- x 0,6). 6.5  Damit resultiert ab August 2012 bei 60%-iger Restarbeitsfähigkeit ein Invaliditätsgrad von 49% ([Fr. 54‘735.-- - Fr. 27‘778.--] / Fr. 54‘735.-- x 100; vgl. zu den Rundungsregeln BGE 130 V 121) und ein Anspruch auf eine Viertelsrente.</w:t>
      </w:r>
    </w:p>
    <w:p>
      <w:r>
        <w:rPr>
          <w:b/>
        </w:rPr>
        <w:t>E. 7</w:t>
      </w:r>
    </w:p>
    <w:p>
      <w:r>
        <w:t>7.1  Nach dem Gesagten sind die Verfügungen vom 24. August und 5. Oktober 2015 nicht zu beanstanden und die Beschwerden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Zufolge Gewährung der unentgeltlichen Rechtspflege (vgl. vorstehende lit. B.d) ist sie von der Bezahlung zu befreien. 7.3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Praxisgemäss wird die Parteientschädigung bei einem durchschnittlich aufwändigen IV-Rentenfall auf rund Fr. 3'500.-- (inklusive Barauslagen und Mehrwertsteuer) festgesetzt. Da es sich beim vorliegenden Fall um einen solchen handelt, ist von diesem Ansatz auszugehen, die pauschale Entschädigung aber um einen Fünftel zu kürzen (Art. 31 Abs. 3 Anwaltsgesetz [AnwG; sGS 963.70]). Somit entschädigt der Staat den Rechtsvertreter der Beschwerdeführerin pauschal (vgl. BGE 125 V 201) mit Fr. 2'800.-- (inklusive Barauslagen und Mehrwertsteuer).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Beschwerden werden abgewiesen. 2. Die Beschwerdeführerin wird von der Bezahlung der Gerichtsgebühr in der Höhe von Fr. 600.--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